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7B" w:rsidRPr="00EB1A7B" w:rsidRDefault="00EB1A7B" w:rsidP="00EB1A7B">
      <w:pPr>
        <w:widowControl/>
        <w:adjustRightInd w:val="0"/>
        <w:snapToGrid w:val="0"/>
        <w:spacing w:line="240" w:lineRule="atLeas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bookmarkStart w:id="0" w:name="_GoBack"/>
      <w:r w:rsidRPr="00EB1A7B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重庆水利电力职业技术学院2018年公开招聘岗位一览表</w:t>
      </w: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1055"/>
        <w:gridCol w:w="714"/>
        <w:gridCol w:w="1701"/>
        <w:gridCol w:w="3685"/>
        <w:gridCol w:w="5954"/>
      </w:tblGrid>
      <w:tr w:rsidR="00EB1A7B" w:rsidRPr="00EB1A7B" w:rsidTr="002E47C6">
        <w:trPr>
          <w:trHeight w:val="451"/>
          <w:tblHeader/>
        </w:trPr>
        <w:tc>
          <w:tcPr>
            <w:tcW w:w="940" w:type="dxa"/>
            <w:vMerge w:val="restart"/>
            <w:vAlign w:val="center"/>
          </w:tcPr>
          <w:bookmarkEnd w:id="0"/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  <w:r w:rsidRPr="00EB1A7B">
              <w:rPr>
                <w:rFonts w:ascii="方正黑体_GBK" w:eastAsia="方正黑体_GBK" w:hAnsi="宋体" w:cs="宋体" w:hint="eastAsia"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55" w:type="dxa"/>
            <w:vMerge w:val="restart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  <w:r w:rsidRPr="00EB1A7B">
              <w:rPr>
                <w:rFonts w:ascii="方正黑体_GBK" w:eastAsia="方正黑体_GBK" w:hAnsi="宋体" w:cs="宋体" w:hint="eastAsia"/>
                <w:bCs/>
                <w:kern w:val="0"/>
                <w:sz w:val="18"/>
                <w:szCs w:val="18"/>
              </w:rPr>
              <w:t>岗位类别及等级</w:t>
            </w:r>
          </w:p>
        </w:tc>
        <w:tc>
          <w:tcPr>
            <w:tcW w:w="714" w:type="dxa"/>
            <w:vMerge w:val="restart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  <w:r w:rsidRPr="00EB1A7B">
              <w:rPr>
                <w:rFonts w:ascii="方正黑体_GBK" w:eastAsia="方正黑体_GBK" w:hAnsi="宋体" w:cs="宋体" w:hint="eastAsia"/>
                <w:bCs/>
                <w:kern w:val="0"/>
                <w:sz w:val="18"/>
                <w:szCs w:val="18"/>
              </w:rPr>
              <w:t>计划人数</w:t>
            </w:r>
          </w:p>
        </w:tc>
        <w:tc>
          <w:tcPr>
            <w:tcW w:w="11340" w:type="dxa"/>
            <w:gridSpan w:val="3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  <w:r w:rsidRPr="00EB1A7B">
              <w:rPr>
                <w:rFonts w:ascii="方正黑体_GBK" w:eastAsia="方正黑体_GBK" w:hAnsi="宋体" w:cs="宋体" w:hint="eastAsia"/>
                <w:bCs/>
                <w:kern w:val="0"/>
                <w:sz w:val="18"/>
                <w:szCs w:val="18"/>
              </w:rPr>
              <w:t>招聘条件及要求</w:t>
            </w:r>
          </w:p>
        </w:tc>
      </w:tr>
      <w:tr w:rsidR="00EB1A7B" w:rsidRPr="00EB1A7B" w:rsidTr="002E47C6">
        <w:trPr>
          <w:trHeight w:val="389"/>
          <w:tblHeader/>
        </w:trPr>
        <w:tc>
          <w:tcPr>
            <w:tcW w:w="940" w:type="dxa"/>
            <w:vMerge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vMerge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  <w:r w:rsidRPr="00EB1A7B">
              <w:rPr>
                <w:rFonts w:ascii="方正黑体_GBK" w:eastAsia="方正黑体_GBK" w:hAnsi="宋体" w:cs="宋体" w:hint="eastAsia"/>
                <w:bCs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  <w:r w:rsidRPr="00EB1A7B">
              <w:rPr>
                <w:rFonts w:ascii="方正黑体_GBK" w:eastAsia="方正黑体_GBK" w:hAnsi="宋体" w:cs="宋体" w:hint="eastAsia"/>
                <w:bCs/>
                <w:kern w:val="0"/>
                <w:sz w:val="18"/>
                <w:szCs w:val="18"/>
              </w:rPr>
              <w:t>专业（方向）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 w:cs="宋体"/>
                <w:bCs/>
                <w:kern w:val="0"/>
                <w:sz w:val="18"/>
                <w:szCs w:val="18"/>
              </w:rPr>
            </w:pPr>
            <w:r w:rsidRPr="00EB1A7B">
              <w:rPr>
                <w:rFonts w:ascii="方正黑体_GBK" w:eastAsia="方正黑体_GBK" w:hAnsi="宋体" w:cs="宋体" w:hint="eastAsia"/>
                <w:bCs/>
                <w:kern w:val="0"/>
                <w:sz w:val="18"/>
                <w:szCs w:val="18"/>
              </w:rPr>
              <w:t>其他</w:t>
            </w:r>
          </w:p>
        </w:tc>
      </w:tr>
      <w:tr w:rsidR="00EB1A7B" w:rsidRPr="00EB1A7B" w:rsidTr="002E47C6">
        <w:trPr>
          <w:trHeight w:val="814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学工部政治辅导员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马克思主义理论类；教育学类；哲学类；政治学类</w:t>
            </w:r>
          </w:p>
        </w:tc>
        <w:tc>
          <w:tcPr>
            <w:tcW w:w="5954" w:type="dxa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（一）中共党员；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（二）具备下列条件之一：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086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学工部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心理健康中心干事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心理学类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级（425分及以上），公开发表专业相关论文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088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电气工程系专任教师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电力系统及其自动化，电机与电器，高电压与绝缘技术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275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电子信息与自动化工程系专任教师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（1）计算机类；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（2）通信与信息系统，信号与信息处理，电子与通信工程，信息与通信工程，电子与通信工程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402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市政工程系专任教师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市政工程，桥梁与隧道工程，土木与环境工程，给排水工程</w:t>
            </w:r>
            <w:r w:rsidRPr="00EB1A7B">
              <w:rPr>
                <w:rFonts w:ascii="宋体" w:eastAsia="宋体" w:hAnsi="Calibri" w:cs="宋体"/>
                <w:kern w:val="0"/>
                <w:sz w:val="18"/>
                <w:szCs w:val="18"/>
              </w:rPr>
              <w:t>,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风景园林学，城市规划，房地产和建筑管理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400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水利工程系（资源与环境管理工程）专任教师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环境科学与工程类（环境科学与工程、环境科学、环境工程、工程环境控制）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400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基础教学部（会计）专任教师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级及以上（会计学）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会计学，审计学，财务管理，会计硕士专业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通过大学英语6级（425分及以上），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篇及以上，经济专业院校毕业生优先。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具有相关专业高级职称的，学历可放宽至本科，但须有硕士学位，并有高校相关工作经历。</w:t>
            </w:r>
          </w:p>
        </w:tc>
      </w:tr>
      <w:tr w:rsidR="00EB1A7B" w:rsidRPr="00EB1A7B" w:rsidTr="002E47C6">
        <w:trPr>
          <w:trHeight w:val="1400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基础教学部（管理、创新创业）专任教师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级及以上（管理学）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企业管理，工商管理硕士专业，管理硕士专业，管理专业硕士；行政管理，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财务管理、市场营销管理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688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Calibri" w:cs="宋体" w:hint="eastAsia"/>
                <w:kern w:val="0"/>
                <w:sz w:val="20"/>
              </w:rPr>
              <w:t>基础教学部（法律）专任教师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级及以上（法学）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本科或研究生阶段为全日制国家重点高校或法律专业院校毕业，本科和研究生阶段均为法学专业，通过大学英语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1556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Calibri" w:cs="宋体" w:hint="eastAsia"/>
                <w:kern w:val="0"/>
                <w:sz w:val="20"/>
              </w:rPr>
              <w:t>基础教学部（经济）专任教师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级及以上（经济学）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公共经济学，产业经济学，区域经济学，西方经济学，</w:t>
            </w:r>
            <w:r w:rsidRPr="00EB1A7B">
              <w:rPr>
                <w:rFonts w:ascii="宋体" w:eastAsia="宋体" w:hAnsi="Calibri" w:cs="宋体" w:hint="eastAsia"/>
                <w:kern w:val="0"/>
                <w:sz w:val="18"/>
                <w:szCs w:val="18"/>
              </w:rPr>
              <w:t>应用经济学；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金融学，金融工程，，金融，应用金融，金融与管理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本科或研究生阶段为全日制国家重点高校，本科和研究生阶段应为相关专业，通过大学英语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736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Calibri" w:cs="宋体" w:hint="eastAsia"/>
                <w:kern w:val="0"/>
                <w:sz w:val="20"/>
              </w:rPr>
              <w:lastRenderedPageBreak/>
              <w:t>基础教学部（文秘）专任教师</w:t>
            </w:r>
          </w:p>
        </w:tc>
        <w:tc>
          <w:tcPr>
            <w:tcW w:w="105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专技1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级及以上（文秘）</w:t>
            </w:r>
          </w:p>
        </w:tc>
        <w:tc>
          <w:tcPr>
            <w:tcW w:w="71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全日制普通高校（硕士）研究生学历并取得硕士学位</w:t>
            </w:r>
          </w:p>
        </w:tc>
        <w:tc>
          <w:tcPr>
            <w:tcW w:w="3685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中国语言文学类；新闻传播学类</w:t>
            </w:r>
          </w:p>
        </w:tc>
        <w:tc>
          <w:tcPr>
            <w:tcW w:w="5954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具备下列条件之一：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20"/>
              </w:rPr>
            </w:pPr>
            <w:r w:rsidRPr="00EB1A7B">
              <w:rPr>
                <w:rFonts w:ascii="宋体" w:eastAsia="宋体" w:hAnsi="宋体" w:cs="宋体"/>
                <w:kern w:val="0"/>
                <w:sz w:val="20"/>
              </w:rPr>
              <w:t>1.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本科或研究生阶段为全日制国家重点高校，通过大学英语</w:t>
            </w:r>
            <w:r w:rsidRPr="00EB1A7B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EB1A7B">
              <w:rPr>
                <w:rFonts w:ascii="宋体" w:eastAsia="宋体" w:hAnsi="宋体" w:cs="宋体" w:hint="eastAsia"/>
                <w:kern w:val="0"/>
                <w:sz w:val="20"/>
              </w:rPr>
              <w:t>级（425分及以上），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公开发表专业相关论文</w:t>
            </w: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篇及以上。</w:t>
            </w:r>
          </w:p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 w:rsidRPr="00EB1A7B">
              <w:rPr>
                <w:rFonts w:ascii="宋体" w:eastAsia="宋体" w:hAnsi="宋体" w:cs="宋体"/>
                <w:kern w:val="0"/>
                <w:sz w:val="18"/>
                <w:szCs w:val="18"/>
              </w:rPr>
              <w:t>2.</w:t>
            </w:r>
            <w:r w:rsidRPr="00EB1A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具有相关专业高级职称的，学历可放宽至全日制本科，但须有硕士学位，并有高校相关工作经历。</w:t>
            </w:r>
          </w:p>
        </w:tc>
      </w:tr>
      <w:tr w:rsidR="00EB1A7B" w:rsidRPr="00EB1A7B" w:rsidTr="002E47C6">
        <w:trPr>
          <w:trHeight w:val="960"/>
        </w:trPr>
        <w:tc>
          <w:tcPr>
            <w:tcW w:w="940" w:type="dxa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宋体"/>
                <w:kern w:val="0"/>
                <w:sz w:val="32"/>
                <w:szCs w:val="32"/>
              </w:rPr>
            </w:pPr>
            <w:r w:rsidRPr="00EB1A7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3109" w:type="dxa"/>
            <w:gridSpan w:val="5"/>
            <w:vAlign w:val="center"/>
          </w:tcPr>
          <w:p w:rsidR="00EB1A7B" w:rsidRPr="00EB1A7B" w:rsidRDefault="00EB1A7B" w:rsidP="00EB1A7B">
            <w:pPr>
              <w:adjustRightInd w:val="0"/>
              <w:snapToGrid w:val="0"/>
              <w:spacing w:line="240" w:lineRule="atLeast"/>
              <w:ind w:firstLineChars="300" w:firstLine="960"/>
              <w:rPr>
                <w:rFonts w:ascii="宋体" w:eastAsia="宋体" w:hAnsi="Calibri" w:cs="宋体"/>
                <w:kern w:val="0"/>
                <w:sz w:val="32"/>
                <w:szCs w:val="32"/>
              </w:rPr>
            </w:pPr>
            <w:r w:rsidRPr="00EB1A7B">
              <w:rPr>
                <w:rFonts w:ascii="宋体" w:eastAsia="宋体" w:hAnsi="宋体" w:cs="宋体"/>
                <w:kern w:val="0"/>
                <w:sz w:val="32"/>
                <w:szCs w:val="32"/>
              </w:rPr>
              <w:t>30</w:t>
            </w:r>
            <w:r w:rsidRPr="00EB1A7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人</w:t>
            </w:r>
            <w:r w:rsidRPr="00EB1A7B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     </w:t>
            </w:r>
          </w:p>
        </w:tc>
      </w:tr>
    </w:tbl>
    <w:p w:rsidR="00EB1A7B" w:rsidRPr="00EB1A7B" w:rsidRDefault="00EB1A7B" w:rsidP="00EB1A7B">
      <w:pPr>
        <w:widowControl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  <w:sectPr w:rsidR="00EB1A7B" w:rsidRPr="00EB1A7B" w:rsidSect="00C61140">
          <w:footerReference w:type="even" r:id="rId7"/>
          <w:footerReference w:type="default" r:id="rId8"/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:rsidR="00F23F70" w:rsidRDefault="00F23F70" w:rsidP="00EB1A7B"/>
    <w:sectPr w:rsidR="00F23F70" w:rsidSect="00EB1A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88" w:rsidRDefault="00864C88" w:rsidP="00EB1A7B">
      <w:r>
        <w:separator/>
      </w:r>
    </w:p>
  </w:endnote>
  <w:endnote w:type="continuationSeparator" w:id="0">
    <w:p w:rsidR="00864C88" w:rsidRDefault="00864C88" w:rsidP="00EB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7B" w:rsidRDefault="00EB1A7B" w:rsidP="00C6114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A7B" w:rsidRDefault="00EB1A7B" w:rsidP="00C6114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7B" w:rsidRPr="006421E0" w:rsidRDefault="00EB1A7B" w:rsidP="00C6114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6421E0">
      <w:rPr>
        <w:rStyle w:val="a5"/>
        <w:rFonts w:ascii="宋体" w:hAnsi="宋体"/>
        <w:sz w:val="28"/>
        <w:szCs w:val="28"/>
      </w:rPr>
      <w:fldChar w:fldCharType="begin"/>
    </w:r>
    <w:r w:rsidRPr="006421E0">
      <w:rPr>
        <w:rStyle w:val="a5"/>
        <w:rFonts w:ascii="宋体" w:hAnsi="宋体"/>
        <w:sz w:val="28"/>
        <w:szCs w:val="28"/>
      </w:rPr>
      <w:instrText xml:space="preserve">PAGE  </w:instrText>
    </w:r>
    <w:r w:rsidRPr="006421E0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6421E0">
      <w:rPr>
        <w:rStyle w:val="a5"/>
        <w:rFonts w:ascii="宋体" w:hAnsi="宋体"/>
        <w:sz w:val="28"/>
        <w:szCs w:val="28"/>
      </w:rPr>
      <w:fldChar w:fldCharType="end"/>
    </w:r>
  </w:p>
  <w:p w:rsidR="00EB1A7B" w:rsidRDefault="00EB1A7B" w:rsidP="00C6114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88" w:rsidRDefault="00864C88" w:rsidP="00EB1A7B">
      <w:r>
        <w:separator/>
      </w:r>
    </w:p>
  </w:footnote>
  <w:footnote w:type="continuationSeparator" w:id="0">
    <w:p w:rsidR="00864C88" w:rsidRDefault="00864C88" w:rsidP="00EB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92"/>
    <w:rsid w:val="00864C88"/>
    <w:rsid w:val="00EB1A7B"/>
    <w:rsid w:val="00EB5892"/>
    <w:rsid w:val="00F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A7B"/>
    <w:rPr>
      <w:sz w:val="18"/>
      <w:szCs w:val="18"/>
    </w:rPr>
  </w:style>
  <w:style w:type="character" w:styleId="a5">
    <w:name w:val="page number"/>
    <w:basedOn w:val="a0"/>
    <w:uiPriority w:val="99"/>
    <w:rsid w:val="00EB1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A7B"/>
    <w:rPr>
      <w:sz w:val="18"/>
      <w:szCs w:val="18"/>
    </w:rPr>
  </w:style>
  <w:style w:type="character" w:styleId="a5">
    <w:name w:val="page number"/>
    <w:basedOn w:val="a0"/>
    <w:uiPriority w:val="99"/>
    <w:rsid w:val="00EB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2017-12-22T09:17:00Z</dcterms:created>
  <dcterms:modified xsi:type="dcterms:W3CDTF">2017-12-22T09:17:00Z</dcterms:modified>
</cp:coreProperties>
</file>